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CE09D" w14:textId="273C2C9A" w:rsidR="00BB4055" w:rsidRDefault="00BB4055" w:rsidP="4F48FB11">
      <w:pPr>
        <w:pStyle w:val="NormalWeb"/>
        <w:contextualSpacing/>
        <w:jc w:val="center"/>
        <w:rPr>
          <w:rFonts w:ascii="TT Commons" w:hAnsi="TT Commons" w:cstheme="minorBidi"/>
          <w:b/>
          <w:bCs/>
          <w:sz w:val="28"/>
          <w:szCs w:val="28"/>
        </w:rPr>
      </w:pPr>
      <w:r>
        <w:rPr>
          <w:rFonts w:ascii="TT Commons" w:hAnsi="TT Commons" w:cstheme="minorBidi"/>
          <w:b/>
          <w:bCs/>
          <w:noProof/>
          <w:sz w:val="28"/>
          <w:szCs w:val="28"/>
          <w14:ligatures w14:val="standardContextual"/>
        </w:rPr>
        <w:drawing>
          <wp:inline distT="0" distB="0" distL="0" distR="0" wp14:anchorId="4A87D9AD" wp14:editId="05A62EF8">
            <wp:extent cx="5006502" cy="3754877"/>
            <wp:effectExtent l="0" t="0" r="3810" b="0"/>
            <wp:docPr id="205749507" name="Image 1" descr="Une image contenant plein air, ciel, eau, la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49507" name="Image 1" descr="Une image contenant plein air, ciel, eau, lac&#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11497" cy="3758623"/>
                    </a:xfrm>
                    <a:prstGeom prst="rect">
                      <a:avLst/>
                    </a:prstGeom>
                  </pic:spPr>
                </pic:pic>
              </a:graphicData>
            </a:graphic>
          </wp:inline>
        </w:drawing>
      </w:r>
    </w:p>
    <w:p w14:paraId="332DE79D" w14:textId="77777777" w:rsidR="00BB4055" w:rsidRDefault="00BB4055" w:rsidP="4F48FB11">
      <w:pPr>
        <w:pStyle w:val="NormalWeb"/>
        <w:contextualSpacing/>
        <w:jc w:val="center"/>
        <w:rPr>
          <w:rFonts w:ascii="TT Commons" w:hAnsi="TT Commons" w:cstheme="minorBidi"/>
          <w:b/>
          <w:bCs/>
          <w:sz w:val="28"/>
          <w:szCs w:val="28"/>
        </w:rPr>
      </w:pPr>
    </w:p>
    <w:p w14:paraId="6DA25B39" w14:textId="2F88EE62" w:rsidR="008052A3" w:rsidRPr="00963D25" w:rsidRDefault="000F3DDE" w:rsidP="4F48FB11">
      <w:pPr>
        <w:pStyle w:val="NormalWeb"/>
        <w:contextualSpacing/>
        <w:jc w:val="center"/>
        <w:rPr>
          <w:rFonts w:ascii="TT Commons" w:hAnsi="TT Commons" w:cstheme="minorBidi"/>
          <w:b/>
          <w:bCs/>
          <w:sz w:val="28"/>
          <w:szCs w:val="28"/>
        </w:rPr>
      </w:pPr>
      <w:r w:rsidRPr="4F48FB11">
        <w:rPr>
          <w:rFonts w:ascii="TT Commons" w:hAnsi="TT Commons" w:cstheme="minorBidi"/>
          <w:b/>
          <w:bCs/>
          <w:sz w:val="28"/>
          <w:szCs w:val="28"/>
        </w:rPr>
        <w:t xml:space="preserve">BlueNav présente son </w:t>
      </w:r>
      <w:r w:rsidR="007F44D7">
        <w:rPr>
          <w:rFonts w:ascii="TT Commons" w:hAnsi="TT Commons" w:cstheme="minorBidi"/>
          <w:b/>
          <w:bCs/>
          <w:sz w:val="28"/>
          <w:szCs w:val="28"/>
        </w:rPr>
        <w:t>bateau de démonstration</w:t>
      </w:r>
      <w:r w:rsidRPr="4F48FB11">
        <w:rPr>
          <w:rFonts w:ascii="TT Commons" w:hAnsi="TT Commons" w:cstheme="minorBidi"/>
          <w:b/>
          <w:bCs/>
          <w:sz w:val="28"/>
          <w:szCs w:val="28"/>
        </w:rPr>
        <w:t xml:space="preserve"> : autonome à propulsion électrique</w:t>
      </w:r>
      <w:r w:rsidR="003C2ED3" w:rsidRPr="4F48FB11">
        <w:rPr>
          <w:rFonts w:ascii="TT Commons" w:hAnsi="TT Commons" w:cstheme="minorBidi"/>
          <w:b/>
          <w:bCs/>
          <w:sz w:val="28"/>
          <w:szCs w:val="28"/>
        </w:rPr>
        <w:t xml:space="preserve"> </w:t>
      </w:r>
    </w:p>
    <w:p w14:paraId="08927D71" w14:textId="77777777" w:rsidR="008052A3" w:rsidRPr="00963D25" w:rsidRDefault="008052A3" w:rsidP="008052A3">
      <w:pPr>
        <w:pStyle w:val="NormalWeb"/>
        <w:contextualSpacing/>
        <w:jc w:val="both"/>
        <w:rPr>
          <w:rFonts w:ascii="TT Commons" w:hAnsi="TT Commons" w:cstheme="minorHAnsi"/>
          <w:sz w:val="22"/>
          <w:szCs w:val="22"/>
        </w:rPr>
      </w:pPr>
    </w:p>
    <w:p w14:paraId="78487C96" w14:textId="77777777" w:rsidR="00707B2F" w:rsidRPr="00963D25" w:rsidRDefault="00707B2F" w:rsidP="008052A3">
      <w:pPr>
        <w:pStyle w:val="NormalWeb"/>
        <w:contextualSpacing/>
        <w:jc w:val="both"/>
        <w:rPr>
          <w:rFonts w:ascii="TT Commons" w:hAnsi="TT Commons" w:cstheme="minorHAnsi"/>
          <w:b/>
          <w:bCs/>
          <w:i/>
          <w:iCs/>
          <w:sz w:val="22"/>
          <w:szCs w:val="22"/>
        </w:rPr>
      </w:pPr>
    </w:p>
    <w:p w14:paraId="71C68E04" w14:textId="6CA1FE7E" w:rsidR="000E5E81" w:rsidRPr="00707B2F" w:rsidRDefault="008052A3" w:rsidP="008052A3">
      <w:pPr>
        <w:pStyle w:val="NormalWeb"/>
        <w:contextualSpacing/>
        <w:jc w:val="both"/>
        <w:rPr>
          <w:rFonts w:ascii="TT Commons" w:hAnsi="TT Commons" w:cstheme="minorHAnsi"/>
          <w:sz w:val="22"/>
          <w:szCs w:val="22"/>
        </w:rPr>
      </w:pPr>
      <w:r w:rsidRPr="00707B2F">
        <w:rPr>
          <w:rFonts w:ascii="TT Commons" w:hAnsi="TT Commons" w:cstheme="minorHAnsi"/>
          <w:b/>
          <w:bCs/>
          <w:i/>
          <w:iCs/>
          <w:sz w:val="22"/>
          <w:szCs w:val="22"/>
        </w:rPr>
        <w:t xml:space="preserve">Arcachon, France, </w:t>
      </w:r>
      <w:r w:rsidR="003C2ED3">
        <w:rPr>
          <w:rFonts w:ascii="TT Commons" w:hAnsi="TT Commons" w:cstheme="minorHAnsi"/>
          <w:b/>
          <w:bCs/>
          <w:i/>
          <w:iCs/>
          <w:sz w:val="22"/>
          <w:szCs w:val="22"/>
        </w:rPr>
        <w:t>octobre</w:t>
      </w:r>
      <w:r w:rsidRPr="00707B2F">
        <w:rPr>
          <w:rFonts w:ascii="TT Commons" w:hAnsi="TT Commons" w:cstheme="minorHAnsi"/>
          <w:b/>
          <w:bCs/>
          <w:i/>
          <w:iCs/>
          <w:sz w:val="22"/>
          <w:szCs w:val="22"/>
        </w:rPr>
        <w:t xml:space="preserve"> 2024</w:t>
      </w:r>
      <w:r w:rsidRPr="00707B2F">
        <w:rPr>
          <w:rFonts w:ascii="TT Commons" w:hAnsi="TT Commons" w:cstheme="minorHAnsi"/>
          <w:sz w:val="22"/>
          <w:szCs w:val="22"/>
        </w:rPr>
        <w:t xml:space="preserve"> </w:t>
      </w:r>
      <w:r w:rsidRPr="00707B2F">
        <w:rPr>
          <w:rFonts w:ascii="TT Commons" w:hAnsi="TT Commons" w:cstheme="minorHAnsi"/>
          <w:b/>
          <w:bCs/>
          <w:sz w:val="22"/>
          <w:szCs w:val="22"/>
        </w:rPr>
        <w:t xml:space="preserve">– </w:t>
      </w:r>
      <w:r w:rsidR="000701D7" w:rsidRPr="000701D7">
        <w:rPr>
          <w:rFonts w:ascii="TT Commons" w:hAnsi="TT Commons" w:cstheme="minorHAnsi"/>
          <w:b/>
          <w:bCs/>
          <w:sz w:val="22"/>
          <w:szCs w:val="22"/>
        </w:rPr>
        <w:t xml:space="preserve">BlueNav, entreprise créatrice de moteurs électriques "add-on" pour bateaux et de solutions logicielles d'aide à la navigation, a présenté pour la première fois au public, le 20 septembre dernier à Bordeaux, son </w:t>
      </w:r>
      <w:r w:rsidR="000701D7" w:rsidRPr="000701D7">
        <w:rPr>
          <w:rFonts w:ascii="TT Commons" w:hAnsi="TT Commons" w:cstheme="minorHAnsi"/>
          <w:b/>
          <w:bCs/>
          <w:i/>
          <w:iCs/>
          <w:sz w:val="22"/>
          <w:szCs w:val="22"/>
        </w:rPr>
        <w:t>BlueBoat</w:t>
      </w:r>
      <w:r w:rsidR="000701D7" w:rsidRPr="000701D7">
        <w:rPr>
          <w:rFonts w:ascii="TT Commons" w:hAnsi="TT Commons" w:cstheme="minorHAnsi"/>
          <w:b/>
          <w:bCs/>
          <w:sz w:val="22"/>
          <w:szCs w:val="22"/>
        </w:rPr>
        <w:t xml:space="preserve"> lors de l'événement Mobilités Innov'.</w:t>
      </w:r>
    </w:p>
    <w:p w14:paraId="7DE51B3B" w14:textId="77777777" w:rsidR="008052A3" w:rsidRPr="00707B2F" w:rsidRDefault="008052A3" w:rsidP="008052A3">
      <w:pPr>
        <w:pStyle w:val="NormalWeb"/>
        <w:contextualSpacing/>
        <w:jc w:val="both"/>
        <w:rPr>
          <w:rFonts w:ascii="TT Commons" w:hAnsi="TT Commons" w:cstheme="minorHAnsi"/>
          <w:sz w:val="22"/>
          <w:szCs w:val="22"/>
        </w:rPr>
      </w:pPr>
    </w:p>
    <w:p w14:paraId="30E6DF73" w14:textId="020862DB" w:rsidR="000E5E81" w:rsidRDefault="000701D7" w:rsidP="000E5E81">
      <w:pPr>
        <w:pStyle w:val="NormalWeb"/>
        <w:contextualSpacing/>
        <w:jc w:val="both"/>
        <w:rPr>
          <w:rFonts w:ascii="TT Commons" w:hAnsi="TT Commons" w:cstheme="minorHAnsi"/>
          <w:b/>
          <w:bCs/>
          <w:sz w:val="22"/>
          <w:szCs w:val="22"/>
        </w:rPr>
      </w:pPr>
      <w:r w:rsidRPr="000701D7">
        <w:rPr>
          <w:rFonts w:ascii="TT Commons" w:hAnsi="TT Commons" w:cstheme="minorHAnsi"/>
          <w:b/>
          <w:bCs/>
          <w:sz w:val="22"/>
          <w:szCs w:val="22"/>
        </w:rPr>
        <w:t>Vers une transformation progressive d</w:t>
      </w:r>
      <w:r w:rsidR="00B97FDA">
        <w:rPr>
          <w:rFonts w:ascii="TT Commons" w:hAnsi="TT Commons" w:cstheme="minorHAnsi"/>
          <w:b/>
          <w:bCs/>
          <w:sz w:val="22"/>
          <w:szCs w:val="22"/>
        </w:rPr>
        <w:t>e la mobilité urbaine</w:t>
      </w:r>
    </w:p>
    <w:p w14:paraId="46838FCF" w14:textId="77777777" w:rsidR="000701D7" w:rsidRPr="000E5E81" w:rsidRDefault="000701D7" w:rsidP="000E5E81">
      <w:pPr>
        <w:pStyle w:val="NormalWeb"/>
        <w:contextualSpacing/>
        <w:jc w:val="both"/>
        <w:rPr>
          <w:rFonts w:ascii="TT Commons" w:hAnsi="TT Commons" w:cstheme="minorHAnsi"/>
          <w:b/>
          <w:bCs/>
          <w:sz w:val="22"/>
          <w:szCs w:val="22"/>
        </w:rPr>
      </w:pPr>
    </w:p>
    <w:p w14:paraId="49B18E94" w14:textId="0FD2F343" w:rsidR="000E5E81" w:rsidRPr="00A014C9" w:rsidRDefault="000701D7" w:rsidP="000E5E81">
      <w:pPr>
        <w:pStyle w:val="NormalWeb"/>
        <w:contextualSpacing/>
        <w:jc w:val="both"/>
        <w:rPr>
          <w:rFonts w:ascii="TT Commons Light" w:hAnsi="TT Commons Light" w:cstheme="minorHAnsi"/>
          <w:sz w:val="22"/>
          <w:szCs w:val="22"/>
        </w:rPr>
      </w:pPr>
      <w:r w:rsidRPr="00A014C9">
        <w:rPr>
          <w:rFonts w:ascii="TT Commons Light" w:hAnsi="TT Commons Light" w:cstheme="minorHAnsi"/>
          <w:sz w:val="22"/>
          <w:szCs w:val="22"/>
        </w:rPr>
        <w:t>L’augmentation du trafic sur les voies navigables accompagne une automatisation croissante des transports dans tous les secteurs, et notamment pour les transports fluviaux.</w:t>
      </w:r>
      <w:r w:rsidR="000E5E81" w:rsidRPr="00A014C9">
        <w:rPr>
          <w:rFonts w:ascii="TT Commons Light" w:hAnsi="TT Commons Light" w:cstheme="minorHAnsi"/>
          <w:sz w:val="22"/>
          <w:szCs w:val="22"/>
        </w:rPr>
        <w:t xml:space="preserve"> </w:t>
      </w:r>
      <w:r w:rsidRPr="00A014C9">
        <w:rPr>
          <w:rFonts w:ascii="TT Commons Light" w:hAnsi="TT Commons Light" w:cstheme="minorHAnsi"/>
          <w:sz w:val="22"/>
          <w:szCs w:val="22"/>
        </w:rPr>
        <w:t>Dans ce contexte, les Jeux de Paris 2024 représentent une formidable opportunité de valoriser le réseau fluvial national, les innovations autour des nouveaux usages de l’eau, ainsi que les modes de propulsion innovants et décarbonés</w:t>
      </w:r>
      <w:r w:rsidR="000E5E81" w:rsidRPr="00A014C9">
        <w:rPr>
          <w:rFonts w:ascii="TT Commons Light" w:hAnsi="TT Commons Light" w:cstheme="minorHAnsi"/>
          <w:sz w:val="22"/>
          <w:szCs w:val="22"/>
        </w:rPr>
        <w:t xml:space="preserve">.  </w:t>
      </w:r>
    </w:p>
    <w:p w14:paraId="10C6B6B9" w14:textId="77777777" w:rsidR="000E5E81" w:rsidRPr="00A014C9" w:rsidRDefault="000E5E81" w:rsidP="000E5E81">
      <w:pPr>
        <w:pStyle w:val="NormalWeb"/>
        <w:contextualSpacing/>
        <w:jc w:val="both"/>
        <w:rPr>
          <w:rFonts w:ascii="TT Commons Light" w:hAnsi="TT Commons Light" w:cstheme="minorHAnsi"/>
          <w:sz w:val="22"/>
          <w:szCs w:val="22"/>
        </w:rPr>
      </w:pPr>
    </w:p>
    <w:p w14:paraId="39CFAEB9" w14:textId="54152431" w:rsidR="000E5E81" w:rsidRPr="00A014C9" w:rsidRDefault="000E5E81" w:rsidP="000E5E81">
      <w:pPr>
        <w:pStyle w:val="NormalWeb"/>
        <w:contextualSpacing/>
        <w:jc w:val="both"/>
        <w:rPr>
          <w:rFonts w:ascii="TT Commons Light" w:hAnsi="TT Commons Light" w:cstheme="minorHAnsi"/>
          <w:sz w:val="22"/>
          <w:szCs w:val="22"/>
        </w:rPr>
      </w:pPr>
      <w:r w:rsidRPr="00A014C9">
        <w:rPr>
          <w:rFonts w:ascii="TT Commons Light" w:hAnsi="TT Commons Light" w:cstheme="minorHAnsi"/>
          <w:sz w:val="22"/>
          <w:szCs w:val="22"/>
        </w:rPr>
        <w:t xml:space="preserve">En tant qu’opérateur national en charge de la promotion du transport fluvial, Voies Navigables de France (VNF), avec le soutien de l’Agence de l’Innovation pour les Transports, a lancé un appel à projets </w:t>
      </w:r>
      <w:r w:rsidR="00B97FDA" w:rsidRPr="00A014C9">
        <w:rPr>
          <w:rFonts w:ascii="TT Commons Light" w:hAnsi="TT Commons Light" w:cstheme="minorHAnsi"/>
          <w:sz w:val="22"/>
          <w:szCs w:val="22"/>
        </w:rPr>
        <w:t xml:space="preserve">pour la mise en place </w:t>
      </w:r>
      <w:r w:rsidR="00DC3364" w:rsidRPr="00A014C9">
        <w:rPr>
          <w:rFonts w:ascii="TT Commons Light" w:hAnsi="TT Commons Light" w:cstheme="minorHAnsi"/>
          <w:sz w:val="22"/>
          <w:szCs w:val="22"/>
        </w:rPr>
        <w:t>de démonstrateurs</w:t>
      </w:r>
      <w:r w:rsidR="00B97FDA" w:rsidRPr="00A014C9">
        <w:rPr>
          <w:rFonts w:ascii="TT Commons Light" w:hAnsi="TT Commons Light" w:cstheme="minorHAnsi"/>
          <w:sz w:val="22"/>
          <w:szCs w:val="22"/>
        </w:rPr>
        <w:t xml:space="preserve"> de services traversiers à navigation automatisée et motorisation décarbonée</w:t>
      </w:r>
      <w:r w:rsidRPr="00A014C9">
        <w:rPr>
          <w:rFonts w:ascii="TT Commons Light" w:hAnsi="TT Commons Light" w:cstheme="minorHAnsi"/>
          <w:sz w:val="22"/>
          <w:szCs w:val="22"/>
        </w:rPr>
        <w:t xml:space="preserve">. </w:t>
      </w:r>
      <w:r w:rsidR="000701D7" w:rsidRPr="00A014C9">
        <w:rPr>
          <w:rFonts w:ascii="TT Commons Light" w:hAnsi="TT Commons Light" w:cstheme="minorHAnsi"/>
          <w:sz w:val="22"/>
          <w:szCs w:val="22"/>
        </w:rPr>
        <w:t>BlueNav a saisi cette opportunité stratégique majeure, a postulé et a été désignée lauréate.</w:t>
      </w:r>
      <w:r w:rsidRPr="00A014C9">
        <w:rPr>
          <w:rFonts w:ascii="TT Commons Light" w:hAnsi="TT Commons Light" w:cstheme="minorHAnsi"/>
          <w:sz w:val="22"/>
          <w:szCs w:val="22"/>
        </w:rPr>
        <w:t xml:space="preserve"> </w:t>
      </w:r>
      <w:r w:rsidR="000701D7" w:rsidRPr="00A014C9">
        <w:rPr>
          <w:rFonts w:ascii="TT Commons Light" w:hAnsi="TT Commons Light" w:cstheme="minorHAnsi"/>
          <w:sz w:val="22"/>
          <w:szCs w:val="22"/>
        </w:rPr>
        <w:t>À terme, cette technologie pourrait être déployée à plus grande échelle, dans d'autres villes et contextes.</w:t>
      </w:r>
      <w:r w:rsidRPr="00A014C9">
        <w:rPr>
          <w:rFonts w:ascii="TT Commons Light" w:hAnsi="TT Commons Light" w:cstheme="minorHAnsi"/>
          <w:sz w:val="22"/>
          <w:szCs w:val="22"/>
        </w:rPr>
        <w:t xml:space="preserve"> </w:t>
      </w:r>
    </w:p>
    <w:p w14:paraId="208D4555" w14:textId="77777777" w:rsidR="000E5E81" w:rsidRDefault="000E5E81" w:rsidP="000E5E81">
      <w:pPr>
        <w:pStyle w:val="NormalWeb"/>
        <w:contextualSpacing/>
        <w:jc w:val="both"/>
        <w:rPr>
          <w:rFonts w:ascii="TT Commons" w:hAnsi="TT Commons" w:cstheme="minorHAnsi"/>
          <w:sz w:val="22"/>
          <w:szCs w:val="22"/>
        </w:rPr>
      </w:pPr>
    </w:p>
    <w:p w14:paraId="4BB67282" w14:textId="77777777" w:rsidR="008052A3" w:rsidRPr="00963D25" w:rsidRDefault="008052A3" w:rsidP="008052A3">
      <w:pPr>
        <w:pStyle w:val="NormalWeb"/>
        <w:contextualSpacing/>
        <w:jc w:val="both"/>
        <w:rPr>
          <w:rFonts w:ascii="TT Commons" w:hAnsi="TT Commons" w:cstheme="minorHAnsi"/>
          <w:sz w:val="22"/>
          <w:szCs w:val="22"/>
        </w:rPr>
      </w:pPr>
    </w:p>
    <w:p w14:paraId="2D3211AA" w14:textId="7DB277CD" w:rsidR="00F2712D" w:rsidRPr="00F2712D" w:rsidRDefault="00CF417C" w:rsidP="00F2712D">
      <w:pPr>
        <w:pStyle w:val="NormalWeb"/>
        <w:contextualSpacing/>
        <w:jc w:val="both"/>
        <w:rPr>
          <w:rFonts w:ascii="TT Commons" w:hAnsi="TT Commons" w:cstheme="minorHAnsi"/>
          <w:b/>
          <w:bCs/>
          <w:sz w:val="22"/>
          <w:szCs w:val="22"/>
        </w:rPr>
      </w:pPr>
      <w:r>
        <w:rPr>
          <w:rFonts w:ascii="TT Commons" w:hAnsi="TT Commons" w:cstheme="minorHAnsi"/>
          <w:b/>
          <w:bCs/>
          <w:sz w:val="22"/>
          <w:szCs w:val="22"/>
        </w:rPr>
        <w:t xml:space="preserve">Les différents acteurs du projet </w:t>
      </w:r>
    </w:p>
    <w:p w14:paraId="4815AF5A" w14:textId="77777777" w:rsidR="008052A3" w:rsidRDefault="008052A3" w:rsidP="008052A3">
      <w:pPr>
        <w:pStyle w:val="NormalWeb"/>
        <w:contextualSpacing/>
        <w:jc w:val="both"/>
        <w:rPr>
          <w:rFonts w:ascii="TT Commons" w:hAnsi="TT Commons" w:cstheme="minorHAnsi"/>
          <w:i/>
          <w:iCs/>
          <w:sz w:val="22"/>
          <w:szCs w:val="22"/>
        </w:rPr>
      </w:pPr>
    </w:p>
    <w:p w14:paraId="0E6B0942" w14:textId="5B2D460F" w:rsidR="00CF417C" w:rsidRDefault="000F3DDE" w:rsidP="00CF417C">
      <w:pPr>
        <w:pStyle w:val="NormalWeb"/>
        <w:contextualSpacing/>
        <w:jc w:val="both"/>
        <w:rPr>
          <w:rFonts w:ascii="TT Commons Light" w:hAnsi="TT Commons Light" w:cstheme="minorHAnsi"/>
          <w:sz w:val="22"/>
          <w:szCs w:val="22"/>
        </w:rPr>
      </w:pPr>
      <w:r w:rsidRPr="00A014C9">
        <w:rPr>
          <w:rFonts w:ascii="TT Commons Light" w:hAnsi="TT Commons Light" w:cstheme="minorHAnsi"/>
          <w:i/>
          <w:iCs/>
          <w:sz w:val="22"/>
          <w:szCs w:val="22"/>
        </w:rPr>
        <w:t xml:space="preserve">BlueBoat </w:t>
      </w:r>
      <w:r w:rsidRPr="00A014C9">
        <w:rPr>
          <w:rFonts w:ascii="TT Commons Light" w:hAnsi="TT Commons Light" w:cstheme="minorHAnsi"/>
          <w:sz w:val="22"/>
          <w:szCs w:val="22"/>
        </w:rPr>
        <w:t>est le projet porté par BlueNav, fabricant français de motorisations électriques destinées à l'hybridation des bateaux</w:t>
      </w:r>
      <w:r w:rsidRPr="00A014C9">
        <w:rPr>
          <w:rFonts w:ascii="TT Commons Light" w:hAnsi="TT Commons Light" w:cstheme="minorHAnsi"/>
          <w:i/>
          <w:iCs/>
          <w:sz w:val="22"/>
          <w:szCs w:val="22"/>
        </w:rPr>
        <w:t>.</w:t>
      </w:r>
      <w:r w:rsidR="000701D7" w:rsidRPr="00A014C9">
        <w:rPr>
          <w:rFonts w:ascii="TT Commons Light" w:hAnsi="TT Commons Light" w:cstheme="minorHAnsi"/>
          <w:sz w:val="22"/>
          <w:szCs w:val="22"/>
        </w:rPr>
        <w:t xml:space="preserve"> Il est développé en association avec Orion Naval Engineering, cabinet </w:t>
      </w:r>
      <w:r w:rsidR="000701D7" w:rsidRPr="00A014C9">
        <w:rPr>
          <w:rFonts w:ascii="TT Commons Light" w:hAnsi="TT Commons Light" w:cstheme="minorHAnsi"/>
          <w:sz w:val="22"/>
          <w:szCs w:val="22"/>
        </w:rPr>
        <w:lastRenderedPageBreak/>
        <w:t>d'architecture et d'ingénierie navale basé à Bordeaux et Toulon, ainsi qu'avec MOSAT / Drone Protect System, société spécialisée dans les drones de surveillance.</w:t>
      </w:r>
      <w:r w:rsidR="00CF417C" w:rsidRPr="00A014C9">
        <w:rPr>
          <w:rFonts w:ascii="TT Commons Light" w:hAnsi="TT Commons Light" w:cstheme="minorHAnsi"/>
          <w:sz w:val="22"/>
          <w:szCs w:val="22"/>
        </w:rPr>
        <w:t xml:space="preserve"> Ils ont été rejoints par la Métropole de Bordeaux et son opérateur de transport Keolis, engagés pour une mobilité durable et connectée, et par le Grand Port Maritime de Bordeaux qui accueillera le </w:t>
      </w:r>
      <w:r w:rsidR="008B250D" w:rsidRPr="00A014C9">
        <w:rPr>
          <w:rFonts w:ascii="TT Commons Light" w:hAnsi="TT Commons Light" w:cstheme="minorHAnsi"/>
          <w:sz w:val="22"/>
          <w:szCs w:val="22"/>
        </w:rPr>
        <w:t xml:space="preserve">bateau de démonstration </w:t>
      </w:r>
      <w:r w:rsidR="00CF417C" w:rsidRPr="00A014C9">
        <w:rPr>
          <w:rFonts w:ascii="TT Commons Light" w:hAnsi="TT Commons Light" w:cstheme="minorHAnsi"/>
          <w:sz w:val="22"/>
          <w:szCs w:val="22"/>
        </w:rPr>
        <w:t>sur son site. L’objectif du consortium français vis</w:t>
      </w:r>
      <w:r w:rsidR="004624D1" w:rsidRPr="00A014C9">
        <w:rPr>
          <w:rFonts w:ascii="TT Commons Light" w:hAnsi="TT Commons Light" w:cstheme="minorHAnsi"/>
          <w:sz w:val="22"/>
          <w:szCs w:val="22"/>
        </w:rPr>
        <w:t>ait</w:t>
      </w:r>
      <w:r w:rsidR="00CF417C" w:rsidRPr="00A014C9">
        <w:rPr>
          <w:rFonts w:ascii="TT Commons Light" w:hAnsi="TT Commons Light" w:cstheme="minorHAnsi"/>
          <w:sz w:val="22"/>
          <w:szCs w:val="22"/>
        </w:rPr>
        <w:t xml:space="preserve"> le développement et la construction d'un bateau fluvial de 1</w:t>
      </w:r>
      <w:r w:rsidRPr="00A014C9">
        <w:rPr>
          <w:rFonts w:ascii="TT Commons Light" w:hAnsi="TT Commons Light" w:cstheme="minorHAnsi"/>
          <w:sz w:val="22"/>
          <w:szCs w:val="22"/>
        </w:rPr>
        <w:t>0</w:t>
      </w:r>
      <w:r w:rsidR="00CF417C" w:rsidRPr="00A014C9">
        <w:rPr>
          <w:rFonts w:ascii="TT Commons Light" w:hAnsi="TT Commons Light" w:cstheme="minorHAnsi"/>
          <w:sz w:val="22"/>
          <w:szCs w:val="22"/>
        </w:rPr>
        <w:t xml:space="preserve"> mètres de long, d'une capacité de 12 places, accessible PMR </w:t>
      </w:r>
      <w:r w:rsidR="00934B5E" w:rsidRPr="00A014C9">
        <w:rPr>
          <w:rFonts w:ascii="TT Commons Light" w:hAnsi="TT Commons Light" w:cstheme="minorHAnsi"/>
          <w:sz w:val="22"/>
          <w:szCs w:val="22"/>
        </w:rPr>
        <w:t xml:space="preserve">(Personne à Mobilité Réduite) </w:t>
      </w:r>
      <w:r w:rsidR="00CF417C" w:rsidRPr="00A014C9">
        <w:rPr>
          <w:rFonts w:ascii="TT Commons Light" w:hAnsi="TT Commons Light" w:cstheme="minorHAnsi"/>
          <w:sz w:val="22"/>
          <w:szCs w:val="22"/>
        </w:rPr>
        <w:t>et à propulsion électrique avec niveau d’autonomie 4.</w:t>
      </w:r>
    </w:p>
    <w:p w14:paraId="5BC31BF3" w14:textId="77777777" w:rsidR="00A014C9" w:rsidRPr="00A014C9" w:rsidRDefault="00A014C9" w:rsidP="00CF417C">
      <w:pPr>
        <w:pStyle w:val="NormalWeb"/>
        <w:contextualSpacing/>
        <w:jc w:val="both"/>
        <w:rPr>
          <w:rFonts w:ascii="TT Commons Light" w:hAnsi="TT Commons Light" w:cstheme="minorHAnsi"/>
          <w:sz w:val="22"/>
          <w:szCs w:val="22"/>
        </w:rPr>
      </w:pPr>
    </w:p>
    <w:p w14:paraId="243180C0" w14:textId="77777777" w:rsidR="000E5E81" w:rsidRPr="000E5E81" w:rsidRDefault="000E5E81" w:rsidP="008052A3">
      <w:pPr>
        <w:pStyle w:val="NormalWeb"/>
        <w:contextualSpacing/>
        <w:jc w:val="both"/>
        <w:rPr>
          <w:rFonts w:ascii="TT Commons" w:hAnsi="TT Commons" w:cstheme="minorHAnsi"/>
          <w:sz w:val="22"/>
          <w:szCs w:val="22"/>
        </w:rPr>
      </w:pPr>
    </w:p>
    <w:p w14:paraId="34B1E464" w14:textId="77777777" w:rsidR="000F42C2" w:rsidRDefault="000F42C2" w:rsidP="008052A3">
      <w:pPr>
        <w:pStyle w:val="NormalWeb"/>
        <w:contextualSpacing/>
        <w:jc w:val="both"/>
        <w:rPr>
          <w:rFonts w:ascii="TT Commons" w:hAnsi="TT Commons" w:cstheme="minorBidi"/>
          <w:b/>
          <w:bCs/>
          <w:sz w:val="22"/>
          <w:szCs w:val="22"/>
        </w:rPr>
      </w:pPr>
    </w:p>
    <w:p w14:paraId="6322B143" w14:textId="72447DD1" w:rsidR="000F42C2" w:rsidRDefault="000F42C2" w:rsidP="000F42C2">
      <w:pPr>
        <w:pStyle w:val="NormalWeb"/>
        <w:contextualSpacing/>
        <w:jc w:val="center"/>
        <w:rPr>
          <w:rFonts w:ascii="TT Commons" w:hAnsi="TT Commons" w:cstheme="minorBidi"/>
          <w:b/>
          <w:bCs/>
          <w:sz w:val="22"/>
          <w:szCs w:val="22"/>
        </w:rPr>
      </w:pPr>
      <w:r>
        <w:rPr>
          <w:rFonts w:ascii="TT Commons" w:hAnsi="TT Commons" w:cstheme="minorBidi"/>
          <w:b/>
          <w:bCs/>
          <w:noProof/>
          <w:sz w:val="22"/>
          <w:szCs w:val="22"/>
          <w14:ligatures w14:val="standardContextual"/>
        </w:rPr>
        <w:drawing>
          <wp:inline distT="0" distB="0" distL="0" distR="0" wp14:anchorId="489BB1FD" wp14:editId="79087A75">
            <wp:extent cx="5103345" cy="3827510"/>
            <wp:effectExtent l="0" t="0" r="2540" b="1905"/>
            <wp:docPr id="556228142" name="Image 2" descr="Une image contenant plein air, ciel, eau, la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228142" name="Image 2" descr="Une image contenant plein air, ciel, eau, lac&#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36463" cy="3852348"/>
                    </a:xfrm>
                    <a:prstGeom prst="rect">
                      <a:avLst/>
                    </a:prstGeom>
                  </pic:spPr>
                </pic:pic>
              </a:graphicData>
            </a:graphic>
          </wp:inline>
        </w:drawing>
      </w:r>
    </w:p>
    <w:p w14:paraId="5E71369F" w14:textId="77777777" w:rsidR="000F42C2" w:rsidRDefault="000F42C2" w:rsidP="008052A3">
      <w:pPr>
        <w:pStyle w:val="NormalWeb"/>
        <w:contextualSpacing/>
        <w:jc w:val="both"/>
        <w:rPr>
          <w:rFonts w:ascii="TT Commons" w:hAnsi="TT Commons" w:cstheme="minorBidi"/>
          <w:b/>
          <w:bCs/>
          <w:sz w:val="22"/>
          <w:szCs w:val="22"/>
        </w:rPr>
      </w:pPr>
    </w:p>
    <w:p w14:paraId="5D17A17F" w14:textId="77777777" w:rsidR="000F42C2" w:rsidRDefault="000F42C2" w:rsidP="008052A3">
      <w:pPr>
        <w:pStyle w:val="NormalWeb"/>
        <w:contextualSpacing/>
        <w:jc w:val="both"/>
        <w:rPr>
          <w:rFonts w:ascii="TT Commons" w:hAnsi="TT Commons" w:cstheme="minorBidi"/>
          <w:b/>
          <w:bCs/>
          <w:sz w:val="22"/>
          <w:szCs w:val="22"/>
        </w:rPr>
      </w:pPr>
    </w:p>
    <w:p w14:paraId="21828818" w14:textId="77777777" w:rsidR="00A014C9" w:rsidRDefault="00A014C9" w:rsidP="008052A3">
      <w:pPr>
        <w:pStyle w:val="NormalWeb"/>
        <w:contextualSpacing/>
        <w:jc w:val="both"/>
        <w:rPr>
          <w:rFonts w:ascii="TT Commons" w:hAnsi="TT Commons" w:cstheme="minorBidi"/>
          <w:b/>
          <w:bCs/>
          <w:sz w:val="22"/>
          <w:szCs w:val="22"/>
        </w:rPr>
      </w:pPr>
    </w:p>
    <w:p w14:paraId="02B0C262" w14:textId="77777777" w:rsidR="00A014C9" w:rsidRDefault="00A014C9" w:rsidP="008052A3">
      <w:pPr>
        <w:pStyle w:val="NormalWeb"/>
        <w:contextualSpacing/>
        <w:jc w:val="both"/>
        <w:rPr>
          <w:rFonts w:ascii="TT Commons" w:hAnsi="TT Commons" w:cstheme="minorBidi"/>
          <w:b/>
          <w:bCs/>
          <w:sz w:val="22"/>
          <w:szCs w:val="22"/>
        </w:rPr>
      </w:pPr>
    </w:p>
    <w:p w14:paraId="1AC711B9" w14:textId="27ABBE50" w:rsidR="000E5E81" w:rsidRPr="00934B5E" w:rsidRDefault="00934B5E" w:rsidP="008052A3">
      <w:pPr>
        <w:pStyle w:val="NormalWeb"/>
        <w:contextualSpacing/>
        <w:jc w:val="both"/>
        <w:rPr>
          <w:rFonts w:ascii="TT Commons" w:hAnsi="TT Commons" w:cstheme="minorHAnsi"/>
          <w:b/>
          <w:bCs/>
          <w:sz w:val="22"/>
          <w:szCs w:val="22"/>
        </w:rPr>
      </w:pPr>
      <w:r w:rsidRPr="4F48FB11">
        <w:rPr>
          <w:rFonts w:ascii="TT Commons" w:hAnsi="TT Commons" w:cstheme="minorBidi"/>
          <w:b/>
          <w:bCs/>
          <w:sz w:val="22"/>
          <w:szCs w:val="22"/>
        </w:rPr>
        <w:t xml:space="preserve">Les différentes innovations du </w:t>
      </w:r>
      <w:r w:rsidR="001A10C9" w:rsidRPr="4F48FB11">
        <w:rPr>
          <w:rFonts w:ascii="TT Commons" w:hAnsi="TT Commons" w:cstheme="minorBidi"/>
          <w:b/>
          <w:bCs/>
          <w:sz w:val="22"/>
          <w:szCs w:val="22"/>
        </w:rPr>
        <w:t>p</w:t>
      </w:r>
      <w:r w:rsidR="00CF417C" w:rsidRPr="4F48FB11">
        <w:rPr>
          <w:rFonts w:ascii="TT Commons" w:hAnsi="TT Commons" w:cstheme="minorBidi"/>
          <w:b/>
          <w:bCs/>
          <w:sz w:val="22"/>
          <w:szCs w:val="22"/>
        </w:rPr>
        <w:t>asseur de riv</w:t>
      </w:r>
      <w:r w:rsidRPr="4F48FB11">
        <w:rPr>
          <w:rFonts w:ascii="TT Commons" w:hAnsi="TT Commons" w:cstheme="minorBidi"/>
          <w:b/>
          <w:bCs/>
          <w:sz w:val="22"/>
          <w:szCs w:val="22"/>
        </w:rPr>
        <w:t>es</w:t>
      </w:r>
      <w:r w:rsidR="00CF417C" w:rsidRPr="4F48FB11">
        <w:rPr>
          <w:rFonts w:ascii="TT Commons" w:hAnsi="TT Commons" w:cstheme="minorBidi"/>
          <w:b/>
          <w:bCs/>
          <w:sz w:val="22"/>
          <w:szCs w:val="22"/>
        </w:rPr>
        <w:t>, électrique et autonome</w:t>
      </w:r>
    </w:p>
    <w:p w14:paraId="4514FE57" w14:textId="24B771D5" w:rsidR="4F48FB11" w:rsidRDefault="4F48FB11" w:rsidP="4F48FB11">
      <w:pPr>
        <w:pStyle w:val="NormalWeb"/>
        <w:contextualSpacing/>
        <w:jc w:val="both"/>
        <w:rPr>
          <w:rFonts w:ascii="TT Commons" w:hAnsi="TT Commons" w:cstheme="minorBidi"/>
          <w:b/>
          <w:bCs/>
          <w:sz w:val="22"/>
          <w:szCs w:val="22"/>
        </w:rPr>
      </w:pPr>
    </w:p>
    <w:p w14:paraId="0AE3D2DF" w14:textId="2959B48D" w:rsidR="00934B5E" w:rsidRPr="00A014C9" w:rsidRDefault="000701D7" w:rsidP="00934B5E">
      <w:pPr>
        <w:rPr>
          <w:rFonts w:ascii="TT Commons Light" w:eastAsia="Times New Roman" w:hAnsi="TT Commons Light" w:cstheme="minorHAnsi"/>
          <w:kern w:val="0"/>
          <w:lang w:eastAsia="fr-FR"/>
          <w14:ligatures w14:val="none"/>
        </w:rPr>
      </w:pPr>
      <w:r w:rsidRPr="00A014C9">
        <w:rPr>
          <w:rFonts w:ascii="TT Commons Light" w:eastAsia="Times New Roman" w:hAnsi="TT Commons Light" w:cstheme="minorHAnsi"/>
          <w:kern w:val="0"/>
          <w:lang w:eastAsia="fr-FR"/>
          <w14:ligatures w14:val="none"/>
        </w:rPr>
        <w:t>Ce bateau "Passeur de rives" propose des solutions innovantes et uniques, entièrement développées par BlueNav</w:t>
      </w:r>
      <w:r w:rsidR="00934B5E" w:rsidRPr="00A014C9">
        <w:rPr>
          <w:rFonts w:ascii="TT Commons Light" w:eastAsia="Times New Roman" w:hAnsi="TT Commons Light" w:cstheme="minorHAnsi"/>
          <w:kern w:val="0"/>
          <w:lang w:eastAsia="fr-FR"/>
          <w14:ligatures w14:val="none"/>
        </w:rPr>
        <w:t xml:space="preserve"> : </w:t>
      </w:r>
    </w:p>
    <w:p w14:paraId="611D74ED" w14:textId="77777777" w:rsidR="00934B5E" w:rsidRPr="00A014C9" w:rsidRDefault="00934B5E" w:rsidP="00934B5E">
      <w:pPr>
        <w:pStyle w:val="Paragraphedeliste"/>
        <w:numPr>
          <w:ilvl w:val="0"/>
          <w:numId w:val="1"/>
        </w:numPr>
        <w:spacing w:after="0" w:line="240" w:lineRule="auto"/>
        <w:contextualSpacing w:val="0"/>
        <w:rPr>
          <w:rFonts w:ascii="TT Commons Light" w:eastAsia="Times New Roman" w:hAnsi="TT Commons Light" w:cstheme="minorHAnsi"/>
          <w:kern w:val="0"/>
          <w:lang w:eastAsia="fr-FR"/>
          <w14:ligatures w14:val="none"/>
        </w:rPr>
      </w:pPr>
      <w:r w:rsidRPr="00A014C9">
        <w:rPr>
          <w:rFonts w:ascii="TT Commons Light" w:eastAsia="Times New Roman" w:hAnsi="TT Commons Light" w:cstheme="minorHAnsi"/>
          <w:kern w:val="0"/>
          <w:lang w:eastAsia="fr-FR"/>
          <w14:ligatures w14:val="none"/>
        </w:rPr>
        <w:t xml:space="preserve">Un suivi de route préprogrammé </w:t>
      </w:r>
    </w:p>
    <w:p w14:paraId="421B7F9D" w14:textId="77777777" w:rsidR="00934B5E" w:rsidRPr="00A014C9" w:rsidRDefault="00934B5E" w:rsidP="00934B5E">
      <w:pPr>
        <w:pStyle w:val="Paragraphedeliste"/>
        <w:numPr>
          <w:ilvl w:val="0"/>
          <w:numId w:val="1"/>
        </w:numPr>
        <w:spacing w:after="0" w:line="240" w:lineRule="auto"/>
        <w:contextualSpacing w:val="0"/>
        <w:rPr>
          <w:rFonts w:ascii="TT Commons Light" w:eastAsia="Times New Roman" w:hAnsi="TT Commons Light" w:cstheme="minorHAnsi"/>
          <w:kern w:val="0"/>
          <w:lang w:eastAsia="fr-FR"/>
          <w14:ligatures w14:val="none"/>
        </w:rPr>
      </w:pPr>
      <w:r w:rsidRPr="00A014C9">
        <w:rPr>
          <w:rFonts w:ascii="TT Commons Light" w:eastAsia="Times New Roman" w:hAnsi="TT Commons Light" w:cstheme="minorHAnsi"/>
          <w:kern w:val="0"/>
          <w:lang w:eastAsia="fr-FR"/>
          <w14:ligatures w14:val="none"/>
        </w:rPr>
        <w:t xml:space="preserve">Un système de détection d’obstacle (radar lidar) </w:t>
      </w:r>
    </w:p>
    <w:p w14:paraId="33FB89DF" w14:textId="77777777" w:rsidR="00934B5E" w:rsidRPr="00A014C9" w:rsidRDefault="00934B5E" w:rsidP="00934B5E">
      <w:pPr>
        <w:pStyle w:val="Paragraphedeliste"/>
        <w:numPr>
          <w:ilvl w:val="0"/>
          <w:numId w:val="1"/>
        </w:numPr>
        <w:spacing w:after="0" w:line="240" w:lineRule="auto"/>
        <w:contextualSpacing w:val="0"/>
        <w:rPr>
          <w:rFonts w:ascii="TT Commons Light" w:eastAsia="Times New Roman" w:hAnsi="TT Commons Light" w:cstheme="minorHAnsi"/>
          <w:kern w:val="0"/>
          <w:lang w:eastAsia="fr-FR"/>
          <w14:ligatures w14:val="none"/>
        </w:rPr>
      </w:pPr>
      <w:r w:rsidRPr="00A014C9">
        <w:rPr>
          <w:rFonts w:ascii="TT Commons Light" w:eastAsia="Times New Roman" w:hAnsi="TT Commons Light" w:cstheme="minorHAnsi"/>
          <w:kern w:val="0"/>
          <w:lang w:eastAsia="fr-FR"/>
          <w14:ligatures w14:val="none"/>
        </w:rPr>
        <w:t xml:space="preserve">Une ancre virtuelle </w:t>
      </w:r>
    </w:p>
    <w:p w14:paraId="53E4EFB3" w14:textId="396C3524" w:rsidR="00934B5E" w:rsidRPr="00A014C9" w:rsidRDefault="00934B5E" w:rsidP="00934B5E">
      <w:pPr>
        <w:pStyle w:val="Paragraphedeliste"/>
        <w:numPr>
          <w:ilvl w:val="0"/>
          <w:numId w:val="1"/>
        </w:numPr>
        <w:spacing w:after="0" w:line="240" w:lineRule="auto"/>
        <w:contextualSpacing w:val="0"/>
        <w:rPr>
          <w:rFonts w:ascii="TT Commons Light" w:eastAsia="Times New Roman" w:hAnsi="TT Commons Light" w:cstheme="minorHAnsi"/>
          <w:kern w:val="0"/>
          <w:lang w:eastAsia="fr-FR"/>
          <w14:ligatures w14:val="none"/>
        </w:rPr>
      </w:pPr>
      <w:r w:rsidRPr="00A014C9">
        <w:rPr>
          <w:rFonts w:ascii="TT Commons Light" w:eastAsia="Times New Roman" w:hAnsi="TT Commons Light" w:cstheme="minorHAnsi"/>
          <w:kern w:val="0"/>
          <w:lang w:eastAsia="fr-FR"/>
          <w14:ligatures w14:val="none"/>
        </w:rPr>
        <w:t xml:space="preserve">Un système d’accostage automatique (accostage + abaissement de la passerelle) </w:t>
      </w:r>
    </w:p>
    <w:p w14:paraId="10CC8F01" w14:textId="6F31411E" w:rsidR="00934B5E" w:rsidRPr="00A014C9" w:rsidRDefault="00934B5E" w:rsidP="00934B5E">
      <w:pPr>
        <w:pStyle w:val="Paragraphedeliste"/>
        <w:numPr>
          <w:ilvl w:val="0"/>
          <w:numId w:val="1"/>
        </w:numPr>
        <w:spacing w:after="0" w:line="240" w:lineRule="auto"/>
        <w:contextualSpacing w:val="0"/>
        <w:rPr>
          <w:rFonts w:ascii="TT Commons Light" w:eastAsia="Times New Roman" w:hAnsi="TT Commons Light" w:cstheme="minorHAnsi"/>
          <w:kern w:val="0"/>
          <w:lang w:eastAsia="fr-FR"/>
          <w14:ligatures w14:val="none"/>
        </w:rPr>
      </w:pPr>
      <w:r w:rsidRPr="00A014C9">
        <w:rPr>
          <w:rFonts w:ascii="TT Commons Light" w:eastAsia="Times New Roman" w:hAnsi="TT Commons Light" w:cstheme="minorHAnsi"/>
          <w:kern w:val="0"/>
          <w:lang w:eastAsia="fr-FR"/>
          <w14:ligatures w14:val="none"/>
        </w:rPr>
        <w:t>2 moteurs électriques BlueSpin hors-bords 15kw</w:t>
      </w:r>
    </w:p>
    <w:p w14:paraId="280D8559" w14:textId="77777777" w:rsidR="000E5E81" w:rsidRDefault="000E5E81" w:rsidP="008052A3">
      <w:pPr>
        <w:pStyle w:val="NormalWeb"/>
        <w:contextualSpacing/>
        <w:jc w:val="both"/>
        <w:rPr>
          <w:rFonts w:ascii="TT Commons" w:hAnsi="TT Commons" w:cstheme="minorHAnsi"/>
          <w:sz w:val="22"/>
          <w:szCs w:val="22"/>
        </w:rPr>
      </w:pPr>
    </w:p>
    <w:p w14:paraId="30204386" w14:textId="77777777" w:rsidR="00934B5E" w:rsidRDefault="00934B5E" w:rsidP="008052A3">
      <w:pPr>
        <w:pStyle w:val="NormalWeb"/>
        <w:contextualSpacing/>
        <w:jc w:val="both"/>
        <w:rPr>
          <w:rFonts w:ascii="TT Commons" w:hAnsi="TT Commons" w:cstheme="minorHAnsi"/>
          <w:sz w:val="22"/>
          <w:szCs w:val="22"/>
        </w:rPr>
      </w:pPr>
    </w:p>
    <w:p w14:paraId="583054D4" w14:textId="51CFF0AA" w:rsidR="00A26FE5" w:rsidRPr="00963D25" w:rsidRDefault="00707B2F" w:rsidP="00A26FE5">
      <w:pPr>
        <w:pStyle w:val="NormalWeb"/>
        <w:spacing w:after="0"/>
        <w:jc w:val="both"/>
        <w:rPr>
          <w:rFonts w:ascii="TT Commons" w:hAnsi="TT Commons" w:cstheme="minorHAnsi"/>
          <w:b/>
          <w:bCs/>
          <w:sz w:val="22"/>
          <w:szCs w:val="22"/>
        </w:rPr>
      </w:pPr>
      <w:r w:rsidRPr="4F48FB11">
        <w:rPr>
          <w:rFonts w:ascii="TT Commons" w:hAnsi="TT Commons" w:cstheme="minorBidi"/>
          <w:b/>
          <w:bCs/>
          <w:sz w:val="22"/>
          <w:szCs w:val="22"/>
        </w:rPr>
        <w:t xml:space="preserve">A propos de </w:t>
      </w:r>
      <w:r w:rsidR="00A26FE5" w:rsidRPr="4F48FB11">
        <w:rPr>
          <w:rFonts w:ascii="TT Commons" w:hAnsi="TT Commons" w:cstheme="minorBidi"/>
          <w:b/>
          <w:bCs/>
          <w:sz w:val="22"/>
          <w:szCs w:val="22"/>
        </w:rPr>
        <w:t>BlueNav</w:t>
      </w:r>
    </w:p>
    <w:p w14:paraId="0333F636" w14:textId="5E41827A" w:rsidR="50A16FF5" w:rsidRPr="00A014C9" w:rsidRDefault="50A16FF5" w:rsidP="4F48FB11">
      <w:pPr>
        <w:pStyle w:val="NormalWeb"/>
        <w:contextualSpacing/>
        <w:jc w:val="both"/>
        <w:rPr>
          <w:rFonts w:ascii="TT Commons Light" w:hAnsi="TT Commons Light" w:cstheme="minorBidi"/>
          <w:sz w:val="22"/>
          <w:szCs w:val="22"/>
        </w:rPr>
      </w:pPr>
      <w:r w:rsidRPr="00A014C9">
        <w:rPr>
          <w:rFonts w:ascii="TT Commons Light" w:hAnsi="TT Commons Light" w:cstheme="minorBidi"/>
          <w:sz w:val="22"/>
          <w:szCs w:val="22"/>
        </w:rPr>
        <w:t xml:space="preserve">La mission principale de BlueNav est d'accélérer la transition énergétique du nautisme, en améliorant l'expérience de navigation grâce à des solutions de propulsion électrique intelligentes et centrées sur l'utilisateur, pour un avenir durable. </w:t>
      </w:r>
    </w:p>
    <w:p w14:paraId="55F0F326" w14:textId="176B288D" w:rsidR="50A16FF5" w:rsidRPr="00A014C9" w:rsidRDefault="50A16FF5" w:rsidP="4F48FB11">
      <w:pPr>
        <w:pStyle w:val="NormalWeb"/>
        <w:contextualSpacing/>
        <w:jc w:val="both"/>
        <w:rPr>
          <w:rFonts w:ascii="TT Commons Light" w:hAnsi="TT Commons Light"/>
        </w:rPr>
      </w:pPr>
      <w:r w:rsidRPr="00A014C9">
        <w:rPr>
          <w:rFonts w:ascii="TT Commons Light" w:hAnsi="TT Commons Light" w:cstheme="minorBidi"/>
          <w:sz w:val="22"/>
          <w:szCs w:val="22"/>
        </w:rPr>
        <w:t xml:space="preserve">Au premier plan de cette mission, se trouvent le développement et la conception de moteurs électriques « add-on », fabriqués en France, dans le but de convertir n'importe quel bateau de plaisance en un bateau électrique hybride. La technologie BlueSpin constitue un lien essentiel entre le monde conventionnel des moteurs à combustion et celui de l'énergie électrique.  </w:t>
      </w:r>
    </w:p>
    <w:p w14:paraId="2C023B65" w14:textId="68F1680E" w:rsidR="50A16FF5" w:rsidRPr="00A014C9" w:rsidRDefault="50A16FF5" w:rsidP="4F48FB11">
      <w:pPr>
        <w:pStyle w:val="NormalWeb"/>
        <w:contextualSpacing/>
        <w:jc w:val="both"/>
        <w:rPr>
          <w:rFonts w:ascii="TT Commons Light" w:hAnsi="TT Commons Light"/>
        </w:rPr>
      </w:pPr>
      <w:r w:rsidRPr="00A014C9">
        <w:rPr>
          <w:rFonts w:ascii="TT Commons Light" w:hAnsi="TT Commons Light" w:cstheme="minorBidi"/>
          <w:sz w:val="22"/>
          <w:szCs w:val="22"/>
        </w:rPr>
        <w:t>BlueNav se distingue par son logiciel doté de fonctionnalités intelligentes conçues pour assister le pilote tout au long de son parcours. Il offre des fonctions telles que l'ancre virtuelle, l'assistance à l’amarrage et à la pêche, ainsi que des mouvements contrôlés par un système de pilotage dynamique. Les moteurs sont rétractables, rotatifs, et offrent une manœuvrabilité à 360°. Pour plus d’informations : www.bluenav.com</w:t>
      </w:r>
    </w:p>
    <w:p w14:paraId="62282A20" w14:textId="77777777" w:rsidR="00707B2F" w:rsidRDefault="00707B2F" w:rsidP="00A26FE5">
      <w:pPr>
        <w:spacing w:after="0"/>
        <w:rPr>
          <w:rFonts w:ascii="TT Commons" w:hAnsi="TT Commons" w:cstheme="minorHAnsi"/>
          <w:b/>
          <w:bCs/>
          <w:i/>
          <w:iCs/>
        </w:rPr>
      </w:pPr>
    </w:p>
    <w:p w14:paraId="313A63D4" w14:textId="15523D80" w:rsidR="00A26FE5" w:rsidRPr="00963D25" w:rsidRDefault="001A10C9" w:rsidP="00A26FE5">
      <w:pPr>
        <w:spacing w:after="0"/>
        <w:rPr>
          <w:rFonts w:ascii="TT Commons" w:hAnsi="TT Commons" w:cstheme="minorHAnsi"/>
          <w:b/>
          <w:bCs/>
          <w:i/>
          <w:iCs/>
        </w:rPr>
      </w:pPr>
      <w:r>
        <w:rPr>
          <w:rFonts w:ascii="TT Commons" w:hAnsi="TT Commons" w:cstheme="minorHAnsi"/>
          <w:b/>
          <w:bCs/>
          <w:i/>
          <w:iCs/>
        </w:rPr>
        <w:t>Contact presse :</w:t>
      </w:r>
    </w:p>
    <w:p w14:paraId="28148167" w14:textId="77777777" w:rsidR="00A26FE5" w:rsidRPr="008052A3" w:rsidRDefault="00A26FE5" w:rsidP="00A26FE5">
      <w:pPr>
        <w:spacing w:after="0"/>
        <w:rPr>
          <w:rFonts w:ascii="TT Commons" w:hAnsi="TT Commons" w:cstheme="minorHAnsi"/>
          <w:i/>
          <w:iCs/>
        </w:rPr>
      </w:pPr>
      <w:r w:rsidRPr="008052A3">
        <w:rPr>
          <w:rFonts w:ascii="TT Commons" w:hAnsi="TT Commons" w:cstheme="minorHAnsi"/>
          <w:i/>
          <w:iCs/>
        </w:rPr>
        <w:t xml:space="preserve">Marie-Claire BONNET </w:t>
      </w:r>
    </w:p>
    <w:p w14:paraId="35B5078A" w14:textId="77777777" w:rsidR="00A26FE5" w:rsidRPr="008052A3" w:rsidRDefault="00A26FE5" w:rsidP="00A26FE5">
      <w:pPr>
        <w:spacing w:after="0"/>
        <w:rPr>
          <w:rStyle w:val="Lienhypertexte"/>
          <w:rFonts w:ascii="TT Commons" w:hAnsi="TT Commons" w:cstheme="minorHAnsi"/>
          <w:i/>
          <w:iCs/>
        </w:rPr>
      </w:pPr>
      <w:hyperlink r:id="rId12" w:history="1">
        <w:r w:rsidRPr="008052A3">
          <w:rPr>
            <w:rStyle w:val="Lienhypertexte"/>
            <w:rFonts w:ascii="TT Commons" w:hAnsi="TT Commons" w:cstheme="minorHAnsi"/>
            <w:i/>
            <w:iCs/>
          </w:rPr>
          <w:t>marie-claire.bonnet@bluenav.com</w:t>
        </w:r>
      </w:hyperlink>
      <w:r w:rsidRPr="008052A3">
        <w:rPr>
          <w:rStyle w:val="Lienhypertexte"/>
          <w:rFonts w:ascii="TT Commons" w:hAnsi="TT Commons" w:cstheme="minorHAnsi"/>
          <w:i/>
          <w:iCs/>
        </w:rPr>
        <w:t xml:space="preserve"> </w:t>
      </w:r>
    </w:p>
    <w:p w14:paraId="7CEEF8AB" w14:textId="77777777" w:rsidR="00A26FE5" w:rsidRPr="008052A3" w:rsidRDefault="00A26FE5" w:rsidP="00A26FE5">
      <w:pPr>
        <w:spacing w:after="0"/>
        <w:rPr>
          <w:rFonts w:ascii="TT Commons" w:hAnsi="TT Commons" w:cstheme="minorHAnsi"/>
          <w:b/>
          <w:bCs/>
          <w:i/>
          <w:iCs/>
        </w:rPr>
      </w:pPr>
      <w:r w:rsidRPr="008052A3">
        <w:rPr>
          <w:rFonts w:ascii="TT Commons" w:hAnsi="TT Commons" w:cstheme="minorHAnsi"/>
          <w:i/>
          <w:iCs/>
        </w:rPr>
        <w:t>+33 7 83 48 84 47</w:t>
      </w:r>
    </w:p>
    <w:p w14:paraId="09AAF647" w14:textId="6CD8B4AB" w:rsidR="00AA21B0" w:rsidRPr="007F44D7" w:rsidRDefault="00AA21B0">
      <w:pPr>
        <w:rPr>
          <w:rFonts w:ascii="TT Commons" w:hAnsi="TT Commons"/>
        </w:rPr>
      </w:pPr>
    </w:p>
    <w:sectPr w:rsidR="00AA21B0" w:rsidRPr="007F44D7" w:rsidSect="00A26FE5">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888A7" w14:textId="77777777" w:rsidR="00CA2D51" w:rsidRDefault="00CA2D51" w:rsidP="00A26FE5">
      <w:pPr>
        <w:spacing w:after="0" w:line="240" w:lineRule="auto"/>
      </w:pPr>
      <w:r>
        <w:separator/>
      </w:r>
    </w:p>
  </w:endnote>
  <w:endnote w:type="continuationSeparator" w:id="0">
    <w:p w14:paraId="79BE992A" w14:textId="77777777" w:rsidR="00CA2D51" w:rsidRDefault="00CA2D51" w:rsidP="00A26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T Commons">
    <w:altName w:val="Calibri"/>
    <w:panose1 w:val="02000506040000020004"/>
    <w:charset w:val="00"/>
    <w:family w:val="modern"/>
    <w:notTrueType/>
    <w:pitch w:val="variable"/>
    <w:sig w:usb0="A000027F" w:usb1="5000A4FB" w:usb2="00000000" w:usb3="00000000" w:csb0="00000197" w:csb1="00000000"/>
  </w:font>
  <w:font w:name="TT Commons Light">
    <w:panose1 w:val="02000506030000020003"/>
    <w:charset w:val="00"/>
    <w:family w:val="modern"/>
    <w:notTrueType/>
    <w:pitch w:val="variable"/>
    <w:sig w:usb0="A000027F" w:usb1="5000A4F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2060A" w14:textId="77777777" w:rsidR="00CA2D51" w:rsidRDefault="00CA2D51" w:rsidP="00A26FE5">
      <w:pPr>
        <w:spacing w:after="0" w:line="240" w:lineRule="auto"/>
      </w:pPr>
      <w:r>
        <w:separator/>
      </w:r>
    </w:p>
  </w:footnote>
  <w:footnote w:type="continuationSeparator" w:id="0">
    <w:p w14:paraId="6CE0FD89" w14:textId="77777777" w:rsidR="00CA2D51" w:rsidRDefault="00CA2D51" w:rsidP="00A26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6B985" w14:textId="3B8D253C" w:rsidR="00450C10" w:rsidRDefault="000264A1">
    <w:pPr>
      <w:pStyle w:val="En-tte"/>
      <w:tabs>
        <w:tab w:val="clear" w:pos="4536"/>
        <w:tab w:val="center" w:pos="2835"/>
      </w:tabs>
      <w:jc w:val="center"/>
    </w:pPr>
    <w:r>
      <w:t xml:space="preserve">   </w:t>
    </w:r>
    <w:r w:rsidR="00A26FE5">
      <w:rPr>
        <w:noProof/>
      </w:rPr>
      <w:drawing>
        <wp:inline distT="0" distB="0" distL="0" distR="0" wp14:anchorId="30DA3036" wp14:editId="43B96844">
          <wp:extent cx="2610091" cy="577718"/>
          <wp:effectExtent l="0" t="0" r="0" b="0"/>
          <wp:docPr id="2117477064"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477064" name="Image 1"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715116" cy="600964"/>
                  </a:xfrm>
                  <a:prstGeom prst="rect">
                    <a:avLst/>
                  </a:prstGeom>
                </pic:spPr>
              </pic:pic>
            </a:graphicData>
          </a:graphic>
        </wp:inline>
      </w:drawing>
    </w:r>
  </w:p>
  <w:p w14:paraId="40C817D5" w14:textId="77777777" w:rsidR="00450C10" w:rsidRPr="001936BC" w:rsidRDefault="00450C10">
    <w:pPr>
      <w:pStyle w:val="En-tte"/>
      <w:jc w:val="center"/>
    </w:pPr>
  </w:p>
  <w:p w14:paraId="57470B3D" w14:textId="77777777" w:rsidR="00450C10" w:rsidRDefault="00450C10">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82113"/>
    <w:multiLevelType w:val="multilevel"/>
    <w:tmpl w:val="07185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15493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E80"/>
    <w:rsid w:val="00001BC0"/>
    <w:rsid w:val="00015857"/>
    <w:rsid w:val="000264A1"/>
    <w:rsid w:val="000637DD"/>
    <w:rsid w:val="000701D7"/>
    <w:rsid w:val="000766B8"/>
    <w:rsid w:val="000A453D"/>
    <w:rsid w:val="000E5E81"/>
    <w:rsid w:val="000F3DDE"/>
    <w:rsid w:val="000F42C2"/>
    <w:rsid w:val="00162DC6"/>
    <w:rsid w:val="00173E80"/>
    <w:rsid w:val="001A10C9"/>
    <w:rsid w:val="001F6607"/>
    <w:rsid w:val="00220C2C"/>
    <w:rsid w:val="0029164D"/>
    <w:rsid w:val="00315424"/>
    <w:rsid w:val="003C2ED3"/>
    <w:rsid w:val="003C32A0"/>
    <w:rsid w:val="00443CB9"/>
    <w:rsid w:val="00450C10"/>
    <w:rsid w:val="004624D1"/>
    <w:rsid w:val="00535926"/>
    <w:rsid w:val="00540659"/>
    <w:rsid w:val="00540F15"/>
    <w:rsid w:val="0056252F"/>
    <w:rsid w:val="00597799"/>
    <w:rsid w:val="005A0C64"/>
    <w:rsid w:val="005F378D"/>
    <w:rsid w:val="00661CF2"/>
    <w:rsid w:val="006867E8"/>
    <w:rsid w:val="00692394"/>
    <w:rsid w:val="006A657E"/>
    <w:rsid w:val="006E361B"/>
    <w:rsid w:val="006F64DD"/>
    <w:rsid w:val="00707B2F"/>
    <w:rsid w:val="0073657D"/>
    <w:rsid w:val="00763312"/>
    <w:rsid w:val="00775922"/>
    <w:rsid w:val="007F44D7"/>
    <w:rsid w:val="008052A3"/>
    <w:rsid w:val="00813535"/>
    <w:rsid w:val="008330A6"/>
    <w:rsid w:val="00837518"/>
    <w:rsid w:val="0084779F"/>
    <w:rsid w:val="00875D48"/>
    <w:rsid w:val="008B07E4"/>
    <w:rsid w:val="008B250D"/>
    <w:rsid w:val="00907D62"/>
    <w:rsid w:val="00934B5E"/>
    <w:rsid w:val="00963D25"/>
    <w:rsid w:val="00A014C9"/>
    <w:rsid w:val="00A26FE5"/>
    <w:rsid w:val="00A5023D"/>
    <w:rsid w:val="00A71474"/>
    <w:rsid w:val="00AA21B0"/>
    <w:rsid w:val="00AA4EA6"/>
    <w:rsid w:val="00AD55E4"/>
    <w:rsid w:val="00AE2595"/>
    <w:rsid w:val="00B87D93"/>
    <w:rsid w:val="00B97FDA"/>
    <w:rsid w:val="00BA69BC"/>
    <w:rsid w:val="00BB4055"/>
    <w:rsid w:val="00BC47B7"/>
    <w:rsid w:val="00BF458C"/>
    <w:rsid w:val="00C06D32"/>
    <w:rsid w:val="00C16A4C"/>
    <w:rsid w:val="00C81A40"/>
    <w:rsid w:val="00CA2D51"/>
    <w:rsid w:val="00CF417C"/>
    <w:rsid w:val="00DC3364"/>
    <w:rsid w:val="00DE79FF"/>
    <w:rsid w:val="00E70B09"/>
    <w:rsid w:val="00E839F6"/>
    <w:rsid w:val="00EC2610"/>
    <w:rsid w:val="00F11A6E"/>
    <w:rsid w:val="00F2712D"/>
    <w:rsid w:val="00F45F16"/>
    <w:rsid w:val="00F80111"/>
    <w:rsid w:val="00F93438"/>
    <w:rsid w:val="00FA252D"/>
    <w:rsid w:val="1E1785F4"/>
    <w:rsid w:val="23BB1C3A"/>
    <w:rsid w:val="378FEC7A"/>
    <w:rsid w:val="4F2A32B5"/>
    <w:rsid w:val="4F48FB11"/>
    <w:rsid w:val="50A16F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83498"/>
  <w15:chartTrackingRefBased/>
  <w15:docId w15:val="{FCBEF017-8668-4D6B-8201-2A32D6737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FE5"/>
  </w:style>
  <w:style w:type="paragraph" w:styleId="Titre1">
    <w:name w:val="heading 1"/>
    <w:basedOn w:val="Normal"/>
    <w:next w:val="Normal"/>
    <w:link w:val="Titre1Car"/>
    <w:uiPriority w:val="9"/>
    <w:qFormat/>
    <w:rsid w:val="00173E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73E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73E8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73E8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73E8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73E8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73E8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73E8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73E8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73E8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73E8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73E8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73E8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73E8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73E8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73E8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73E8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73E80"/>
    <w:rPr>
      <w:rFonts w:eastAsiaTheme="majorEastAsia" w:cstheme="majorBidi"/>
      <w:color w:val="272727" w:themeColor="text1" w:themeTint="D8"/>
    </w:rPr>
  </w:style>
  <w:style w:type="paragraph" w:styleId="Titre">
    <w:name w:val="Title"/>
    <w:basedOn w:val="Normal"/>
    <w:next w:val="Normal"/>
    <w:link w:val="TitreCar"/>
    <w:uiPriority w:val="10"/>
    <w:qFormat/>
    <w:rsid w:val="00173E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73E8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73E8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73E8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73E80"/>
    <w:pPr>
      <w:spacing w:before="160"/>
      <w:jc w:val="center"/>
    </w:pPr>
    <w:rPr>
      <w:i/>
      <w:iCs/>
      <w:color w:val="404040" w:themeColor="text1" w:themeTint="BF"/>
    </w:rPr>
  </w:style>
  <w:style w:type="character" w:customStyle="1" w:styleId="CitationCar">
    <w:name w:val="Citation Car"/>
    <w:basedOn w:val="Policepardfaut"/>
    <w:link w:val="Citation"/>
    <w:uiPriority w:val="29"/>
    <w:rsid w:val="00173E80"/>
    <w:rPr>
      <w:i/>
      <w:iCs/>
      <w:color w:val="404040" w:themeColor="text1" w:themeTint="BF"/>
    </w:rPr>
  </w:style>
  <w:style w:type="paragraph" w:styleId="Paragraphedeliste">
    <w:name w:val="List Paragraph"/>
    <w:basedOn w:val="Normal"/>
    <w:uiPriority w:val="34"/>
    <w:qFormat/>
    <w:rsid w:val="00173E80"/>
    <w:pPr>
      <w:ind w:left="720"/>
      <w:contextualSpacing/>
    </w:pPr>
  </w:style>
  <w:style w:type="character" w:styleId="Accentuationintense">
    <w:name w:val="Intense Emphasis"/>
    <w:basedOn w:val="Policepardfaut"/>
    <w:uiPriority w:val="21"/>
    <w:qFormat/>
    <w:rsid w:val="00173E80"/>
    <w:rPr>
      <w:i/>
      <w:iCs/>
      <w:color w:val="0F4761" w:themeColor="accent1" w:themeShade="BF"/>
    </w:rPr>
  </w:style>
  <w:style w:type="paragraph" w:styleId="Citationintense">
    <w:name w:val="Intense Quote"/>
    <w:basedOn w:val="Normal"/>
    <w:next w:val="Normal"/>
    <w:link w:val="CitationintenseCar"/>
    <w:uiPriority w:val="30"/>
    <w:qFormat/>
    <w:rsid w:val="00173E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73E80"/>
    <w:rPr>
      <w:i/>
      <w:iCs/>
      <w:color w:val="0F4761" w:themeColor="accent1" w:themeShade="BF"/>
    </w:rPr>
  </w:style>
  <w:style w:type="character" w:styleId="Rfrenceintense">
    <w:name w:val="Intense Reference"/>
    <w:basedOn w:val="Policepardfaut"/>
    <w:uiPriority w:val="32"/>
    <w:qFormat/>
    <w:rsid w:val="00173E80"/>
    <w:rPr>
      <w:b/>
      <w:bCs/>
      <w:smallCaps/>
      <w:color w:val="0F4761" w:themeColor="accent1" w:themeShade="BF"/>
      <w:spacing w:val="5"/>
    </w:rPr>
  </w:style>
  <w:style w:type="paragraph" w:styleId="NormalWeb">
    <w:name w:val="Normal (Web)"/>
    <w:basedOn w:val="Normal"/>
    <w:uiPriority w:val="99"/>
    <w:unhideWhenUsed/>
    <w:rsid w:val="00A26FE5"/>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A26FE5"/>
    <w:rPr>
      <w:color w:val="467886" w:themeColor="hyperlink"/>
      <w:u w:val="single"/>
    </w:rPr>
  </w:style>
  <w:style w:type="paragraph" w:styleId="En-tte">
    <w:name w:val="header"/>
    <w:basedOn w:val="Normal"/>
    <w:link w:val="En-tteCar"/>
    <w:uiPriority w:val="99"/>
    <w:unhideWhenUsed/>
    <w:rsid w:val="00A26FE5"/>
    <w:pPr>
      <w:tabs>
        <w:tab w:val="center" w:pos="4536"/>
        <w:tab w:val="right" w:pos="9072"/>
      </w:tabs>
      <w:spacing w:after="0" w:line="240" w:lineRule="auto"/>
    </w:pPr>
  </w:style>
  <w:style w:type="character" w:customStyle="1" w:styleId="En-tteCar">
    <w:name w:val="En-tête Car"/>
    <w:basedOn w:val="Policepardfaut"/>
    <w:link w:val="En-tte"/>
    <w:uiPriority w:val="99"/>
    <w:rsid w:val="00A26FE5"/>
  </w:style>
  <w:style w:type="paragraph" w:styleId="Pieddepage">
    <w:name w:val="footer"/>
    <w:basedOn w:val="Normal"/>
    <w:link w:val="PieddepageCar"/>
    <w:uiPriority w:val="99"/>
    <w:unhideWhenUsed/>
    <w:rsid w:val="00A26F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26FE5"/>
  </w:style>
  <w:style w:type="character" w:styleId="Mentionnonrsolue">
    <w:name w:val="Unresolved Mention"/>
    <w:basedOn w:val="Policepardfaut"/>
    <w:uiPriority w:val="99"/>
    <w:semiHidden/>
    <w:unhideWhenUsed/>
    <w:rsid w:val="000E5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650577">
      <w:bodyDiv w:val="1"/>
      <w:marLeft w:val="0"/>
      <w:marRight w:val="0"/>
      <w:marTop w:val="0"/>
      <w:marBottom w:val="0"/>
      <w:divBdr>
        <w:top w:val="none" w:sz="0" w:space="0" w:color="auto"/>
        <w:left w:val="none" w:sz="0" w:space="0" w:color="auto"/>
        <w:bottom w:val="none" w:sz="0" w:space="0" w:color="auto"/>
        <w:right w:val="none" w:sz="0" w:space="0" w:color="auto"/>
      </w:divBdr>
    </w:div>
    <w:div w:id="1336151351">
      <w:bodyDiv w:val="1"/>
      <w:marLeft w:val="0"/>
      <w:marRight w:val="0"/>
      <w:marTop w:val="0"/>
      <w:marBottom w:val="0"/>
      <w:divBdr>
        <w:top w:val="none" w:sz="0" w:space="0" w:color="auto"/>
        <w:left w:val="none" w:sz="0" w:space="0" w:color="auto"/>
        <w:bottom w:val="none" w:sz="0" w:space="0" w:color="auto"/>
        <w:right w:val="none" w:sz="0" w:space="0" w:color="auto"/>
      </w:divBdr>
    </w:div>
    <w:div w:id="1870097104">
      <w:bodyDiv w:val="1"/>
      <w:marLeft w:val="0"/>
      <w:marRight w:val="0"/>
      <w:marTop w:val="0"/>
      <w:marBottom w:val="0"/>
      <w:divBdr>
        <w:top w:val="none" w:sz="0" w:space="0" w:color="auto"/>
        <w:left w:val="none" w:sz="0" w:space="0" w:color="auto"/>
        <w:bottom w:val="none" w:sz="0" w:space="0" w:color="auto"/>
        <w:right w:val="none" w:sz="0" w:space="0" w:color="auto"/>
      </w:divBdr>
    </w:div>
    <w:div w:id="1983610553">
      <w:bodyDiv w:val="1"/>
      <w:marLeft w:val="0"/>
      <w:marRight w:val="0"/>
      <w:marTop w:val="0"/>
      <w:marBottom w:val="0"/>
      <w:divBdr>
        <w:top w:val="none" w:sz="0" w:space="0" w:color="auto"/>
        <w:left w:val="none" w:sz="0" w:space="0" w:color="auto"/>
        <w:bottom w:val="none" w:sz="0" w:space="0" w:color="auto"/>
        <w:right w:val="none" w:sz="0" w:space="0" w:color="auto"/>
      </w:divBdr>
    </w:div>
    <w:div w:id="199009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ie-claire.bonnet@bluenav.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C54982E8A3A14097ED38BE65C45AF5" ma:contentTypeVersion="17" ma:contentTypeDescription="Crée un document." ma:contentTypeScope="" ma:versionID="dabf37c241505339137197bd5dd983a9">
  <xsd:schema xmlns:xsd="http://www.w3.org/2001/XMLSchema" xmlns:xs="http://www.w3.org/2001/XMLSchema" xmlns:p="http://schemas.microsoft.com/office/2006/metadata/properties" xmlns:ns2="8f6b0a42-6aa1-4063-ba96-c499c041686e" xmlns:ns3="c9e0caf0-bedf-422e-b4b7-2a9b08a52d7f" targetNamespace="http://schemas.microsoft.com/office/2006/metadata/properties" ma:root="true" ma:fieldsID="68a253baa990972121bea46bd5746d67" ns2:_="" ns3:_="">
    <xsd:import namespace="8f6b0a42-6aa1-4063-ba96-c499c041686e"/>
    <xsd:import namespace="c9e0caf0-bedf-422e-b4b7-2a9b08a52d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REPORTING"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b0a42-6aa1-4063-ba96-c499c0416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37bf5f96-8a2c-449d-bc94-ed2f8bea0d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REPORTING" ma:index="23" nillable="true" ma:displayName="REPORTING" ma:format="Dropdown" ma:internalName="REPORTING">
      <xsd:simpleType>
        <xsd:restriction base="dms:Text">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e0caf0-bedf-422e-b4b7-2a9b08a52d7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b6cf95a-9f8f-421f-ba10-988cb00024aa}" ma:internalName="TaxCatchAll" ma:showField="CatchAllData" ma:web="c9e0caf0-bedf-422e-b4b7-2a9b08a52d7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6b0a42-6aa1-4063-ba96-c499c041686e">
      <Terms xmlns="http://schemas.microsoft.com/office/infopath/2007/PartnerControls"/>
    </lcf76f155ced4ddcb4097134ff3c332f>
    <TaxCatchAll xmlns="c9e0caf0-bedf-422e-b4b7-2a9b08a52d7f" xsi:nil="true"/>
    <REPORTING xmlns="8f6b0a42-6aa1-4063-ba96-c499c041686e" xsi:nil="true"/>
  </documentManagement>
</p:properties>
</file>

<file path=customXml/itemProps1.xml><?xml version="1.0" encoding="utf-8"?>
<ds:datastoreItem xmlns:ds="http://schemas.openxmlformats.org/officeDocument/2006/customXml" ds:itemID="{548950C6-1DA5-42C4-811E-6B7CAB7B5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b0a42-6aa1-4063-ba96-c499c041686e"/>
    <ds:schemaRef ds:uri="c9e0caf0-bedf-422e-b4b7-2a9b08a52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655F16-3C02-4282-A876-5157540D3D30}">
  <ds:schemaRefs>
    <ds:schemaRef ds:uri="http://schemas.microsoft.com/sharepoint/v3/contenttype/forms"/>
  </ds:schemaRefs>
</ds:datastoreItem>
</file>

<file path=customXml/itemProps3.xml><?xml version="1.0" encoding="utf-8"?>
<ds:datastoreItem xmlns:ds="http://schemas.openxmlformats.org/officeDocument/2006/customXml" ds:itemID="{26BB1FF1-84A3-425E-A39B-82FAFE5F466B}">
  <ds:schemaRefs>
    <ds:schemaRef ds:uri="http://schemas.microsoft.com/office/2006/metadata/properties"/>
    <ds:schemaRef ds:uri="http://schemas.microsoft.com/office/infopath/2007/PartnerControls"/>
    <ds:schemaRef ds:uri="8f6b0a42-6aa1-4063-ba96-c499c041686e"/>
    <ds:schemaRef ds:uri="c9e0caf0-bedf-422e-b4b7-2a9b08a52d7f"/>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597</Words>
  <Characters>3289</Characters>
  <Application>Microsoft Office Word</Application>
  <DocSecurity>0</DocSecurity>
  <Lines>27</Lines>
  <Paragraphs>7</Paragraphs>
  <ScaleCrop>false</ScaleCrop>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CHALEYSSIN (BlueNav)</dc:creator>
  <cp:keywords/>
  <dc:description/>
  <cp:lastModifiedBy>Cecilia CHALEYSSIN (BlueNav)</cp:lastModifiedBy>
  <cp:revision>19</cp:revision>
  <cp:lastPrinted>2024-10-08T10:10:00Z</cp:lastPrinted>
  <dcterms:created xsi:type="dcterms:W3CDTF">2024-10-08T12:51:00Z</dcterms:created>
  <dcterms:modified xsi:type="dcterms:W3CDTF">2024-10-18T09:55:00Z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0x01010069E63DD4DFFEF94BB1A7630335054735</vt:lpwstr>
  </property>
  <property fmtid="{D5CDD505-2E9C-101B-9397-08002B2CF9AE}" pid="3" name="MediaServiceImageTags">
    <vt:lpwstr/>
  </property>
</Properties>
</file>